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d"/>
        <w:tblW w:w="9345" w:type="dxa"/>
        <w:tblLayout w:type="fixed"/>
        <w:tblLook w:val="04A0" w:firstRow="1" w:lastRow="0" w:firstColumn="1" w:lastColumn="0" w:noHBand="0" w:noVBand="1"/>
      </w:tblPr>
      <w:tblGrid>
        <w:gridCol w:w="6517"/>
        <w:gridCol w:w="2828"/>
      </w:tblGrid>
      <w:tr w:rsidR="00EC16C3"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</w:tcPr>
          <w:p w:rsidR="00EC16C3" w:rsidRDefault="00EC16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</w:tcPr>
          <w:p w:rsidR="00EC16C3" w:rsidRDefault="0071472D">
            <w:pPr>
              <w:spacing w:after="0" w:line="240" w:lineRule="auto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к Методике</w:t>
            </w:r>
          </w:p>
          <w:p w:rsidR="00EC16C3" w:rsidRDefault="00EC16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EC16C3" w:rsidRPr="0071472D" w:rsidRDefault="0071472D">
      <w:pPr>
        <w:spacing w:after="0" w:line="240" w:lineRule="auto"/>
        <w:jc w:val="center"/>
        <w:rPr>
          <w:sz w:val="27"/>
          <w:szCs w:val="27"/>
        </w:rPr>
      </w:pPr>
      <w:r w:rsidRPr="0071472D">
        <w:rPr>
          <w:rFonts w:ascii="Times New Roman" w:hAnsi="Times New Roman" w:cs="Times New Roman"/>
          <w:b/>
          <w:sz w:val="27"/>
          <w:szCs w:val="27"/>
        </w:rPr>
        <w:t>Основные положения, утвержденной Методики прогнозирования поступлений доходов в консолидированный бюджет Брянской области</w:t>
      </w:r>
    </w:p>
    <w:p w:rsidR="00EC16C3" w:rsidRPr="0071472D" w:rsidRDefault="00EC16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EC16C3" w:rsidRPr="0071472D" w:rsidRDefault="0071472D">
      <w:pPr>
        <w:spacing w:after="0" w:line="240" w:lineRule="auto"/>
        <w:ind w:firstLine="709"/>
        <w:jc w:val="both"/>
        <w:rPr>
          <w:sz w:val="27"/>
          <w:szCs w:val="27"/>
        </w:rPr>
      </w:pPr>
      <w:r w:rsidRPr="0071472D">
        <w:rPr>
          <w:rFonts w:ascii="Times New Roman" w:eastAsia="Times New Roman" w:hAnsi="Times New Roman" w:cs="Times New Roman"/>
          <w:sz w:val="27"/>
          <w:szCs w:val="27"/>
        </w:rPr>
        <w:t>Методика прогнозирования поступлений доходов в  консолидированный бюджет Брянской области на текущий год, очередной финансовый год и плановый период (далее – Методика) разработана в целях реализации УФНС России по Брянской области полномочий главного администратора доходов консолидированного бюджета Брянской области в части прогнозирования поступлений доходов, администрируемых ФНС России, а также направлена на обеспечения полноты поступлений доходов в консолидированный бюджет Брянской области с учётом основных направлений бюджетной и налоговой политики на очередной финансовый год и плановый период.</w:t>
      </w:r>
    </w:p>
    <w:p w:rsidR="00EC16C3" w:rsidRPr="0071472D" w:rsidRDefault="00714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1472D">
        <w:rPr>
          <w:rFonts w:ascii="Times New Roman" w:eastAsia="Times New Roman" w:hAnsi="Times New Roman" w:cs="Times New Roman"/>
          <w:sz w:val="27"/>
          <w:szCs w:val="27"/>
        </w:rPr>
        <w:t>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Федерации, утвержденными постановлением Правительства Российской Федерации от 23 июня 2016 г. № 574 «Об общих требованиях к методике прогнозирования поступлений доходов в бюджеты бюджетной системы Российской Федерации (далее – Общие требования).</w:t>
      </w:r>
    </w:p>
    <w:p w:rsidR="00EC16C3" w:rsidRPr="0071472D" w:rsidRDefault="00714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1472D">
        <w:rPr>
          <w:rFonts w:ascii="Times New Roman" w:eastAsia="Times New Roman" w:hAnsi="Times New Roman" w:cs="Times New Roman"/>
          <w:sz w:val="27"/>
          <w:szCs w:val="27"/>
        </w:rPr>
        <w:t>При расчёте параметров доходов в консолидированный бюджет Брянской области применяются следующие методы прогнозирования:</w:t>
      </w:r>
    </w:p>
    <w:p w:rsidR="00EC16C3" w:rsidRPr="0071472D" w:rsidRDefault="00714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1472D">
        <w:rPr>
          <w:rFonts w:ascii="Times New Roman" w:eastAsia="Times New Roman" w:hAnsi="Times New Roman" w:cs="Times New Roman"/>
          <w:sz w:val="27"/>
          <w:szCs w:val="27"/>
        </w:rPr>
        <w:t>прямой расчёт,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доходов;</w:t>
      </w:r>
    </w:p>
    <w:p w:rsidR="00EC16C3" w:rsidRPr="0071472D" w:rsidRDefault="00714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1472D">
        <w:rPr>
          <w:rFonts w:ascii="Times New Roman" w:eastAsia="Times New Roman" w:hAnsi="Times New Roman" w:cs="Times New Roman"/>
          <w:sz w:val="27"/>
          <w:szCs w:val="27"/>
        </w:rPr>
        <w:t>усреднение - расчёт,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случае, если он не превышает 3 года;</w:t>
      </w:r>
    </w:p>
    <w:p w:rsidR="00EC16C3" w:rsidRPr="0071472D" w:rsidRDefault="00714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1472D">
        <w:rPr>
          <w:rFonts w:ascii="Times New Roman" w:eastAsia="Times New Roman" w:hAnsi="Times New Roman" w:cs="Times New Roman"/>
          <w:sz w:val="27"/>
          <w:szCs w:val="27"/>
        </w:rPr>
        <w:t>индексация – расчет с применением индекса потребительских цен или другого коэффициента, характеризующего динамику прогнозируемого вида доходов;</w:t>
      </w:r>
    </w:p>
    <w:p w:rsidR="00EC16C3" w:rsidRPr="0071472D" w:rsidRDefault="00714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1472D">
        <w:rPr>
          <w:rFonts w:ascii="Times New Roman" w:eastAsia="Times New Roman" w:hAnsi="Times New Roman" w:cs="Times New Roman"/>
          <w:sz w:val="27"/>
          <w:szCs w:val="27"/>
        </w:rPr>
        <w:t>экстраполяция – расчёт, осуществляемый на основании имеющихся данных о тенденциях изменений поступлений в прошлых периодах;</w:t>
      </w:r>
    </w:p>
    <w:p w:rsidR="00EC16C3" w:rsidRPr="0071472D" w:rsidRDefault="00714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1472D">
        <w:rPr>
          <w:rFonts w:ascii="Times New Roman" w:eastAsia="Times New Roman" w:hAnsi="Times New Roman" w:cs="Times New Roman"/>
          <w:sz w:val="27"/>
          <w:szCs w:val="27"/>
        </w:rPr>
        <w:t xml:space="preserve">иной способ, который описывается в Методике. </w:t>
      </w:r>
    </w:p>
    <w:p w:rsidR="00903067" w:rsidRDefault="00714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1472D">
        <w:rPr>
          <w:rFonts w:ascii="Times New Roman" w:eastAsia="Times New Roman" w:hAnsi="Times New Roman" w:cs="Times New Roman"/>
          <w:sz w:val="27"/>
          <w:szCs w:val="27"/>
        </w:rPr>
        <w:t>При прогнозировании доходов в консолидированный бюджет Брянской области используются макроэкономические показатели прогноза социально-экономического развития Брянской области, разрабатываемые Департаментом экономического развития Брянской области</w:t>
      </w:r>
      <w:r w:rsidR="00903067">
        <w:rPr>
          <w:rFonts w:ascii="Times New Roman" w:eastAsia="Times New Roman" w:hAnsi="Times New Roman" w:cs="Times New Roman"/>
          <w:sz w:val="27"/>
          <w:szCs w:val="27"/>
        </w:rPr>
        <w:t>.</w:t>
      </w:r>
      <w:bookmarkStart w:id="0" w:name="_GoBack"/>
      <w:bookmarkEnd w:id="0"/>
      <w:r w:rsidRPr="0071472D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</w:p>
    <w:p w:rsidR="00EC16C3" w:rsidRPr="0071472D" w:rsidRDefault="00714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1472D">
        <w:rPr>
          <w:rFonts w:ascii="Times New Roman" w:eastAsia="Times New Roman" w:hAnsi="Times New Roman" w:cs="Times New Roman"/>
          <w:sz w:val="27"/>
          <w:szCs w:val="27"/>
        </w:rPr>
        <w:t xml:space="preserve">Для расчета прогнозируемых поступлений доходов в консолидированный бюджет Брянской области используются показатели форм статистической налоговой отчетности (о начислении, поступлении налогов, о задолженности по налогам и сборам, о налоговой базе и структуре начислений по видам налогов), а также материалы органов государственной статистики, аналитическая информация о финансово-хозяйственной деятельности налогоплательщиков, материалы министерств, ведомств и т.д. </w:t>
      </w:r>
    </w:p>
    <w:p w:rsidR="00EC16C3" w:rsidRPr="0071472D" w:rsidRDefault="00714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highlight w:val="yellow"/>
        </w:rPr>
      </w:pPr>
      <w:r w:rsidRPr="0071472D">
        <w:rPr>
          <w:rFonts w:ascii="Times New Roman" w:eastAsia="Times New Roman" w:hAnsi="Times New Roman" w:cs="Times New Roman"/>
          <w:sz w:val="27"/>
          <w:szCs w:val="27"/>
        </w:rPr>
        <w:t xml:space="preserve">При формировании в текущем финансовом году оценки поступлений доходов в консолидированный бюджет Брянской области, в том числе может </w:t>
      </w:r>
      <w:r w:rsidRPr="0071472D">
        <w:rPr>
          <w:rFonts w:ascii="Times New Roman" w:eastAsia="Times New Roman" w:hAnsi="Times New Roman" w:cs="Times New Roman"/>
          <w:sz w:val="27"/>
          <w:szCs w:val="27"/>
        </w:rPr>
        <w:lastRenderedPageBreak/>
        <w:t>учитываться фактическое поступление доходов за истекшие месяцы текущего года на основании данных статистической отчетности ФНС России.</w:t>
      </w:r>
      <w:r w:rsidRPr="0071472D">
        <w:rPr>
          <w:rFonts w:ascii="Times New Roman" w:eastAsia="Times New Roman" w:hAnsi="Times New Roman" w:cs="Times New Roman"/>
          <w:sz w:val="27"/>
          <w:szCs w:val="27"/>
          <w:highlight w:val="yellow"/>
        </w:rPr>
        <w:t xml:space="preserve"> </w:t>
      </w:r>
    </w:p>
    <w:p w:rsidR="00EC16C3" w:rsidRPr="0071472D" w:rsidRDefault="00714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1472D">
        <w:rPr>
          <w:rFonts w:ascii="Times New Roman" w:eastAsia="Times New Roman" w:hAnsi="Times New Roman" w:cs="Times New Roman"/>
          <w:sz w:val="27"/>
          <w:szCs w:val="27"/>
        </w:rPr>
        <w:t>В соответствии с Общими требованиями Методика прогнозирования разработана по каждому виду (в отдельных случаях, по решению главного администратора доходов – подвиду) доходов, администрируемых ФНС России согласно утвержденной табличной форме.</w:t>
      </w:r>
    </w:p>
    <w:p w:rsidR="00EC16C3" w:rsidRPr="0071472D" w:rsidRDefault="00EC16C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EC16C3" w:rsidRPr="0071472D" w:rsidRDefault="007147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1472D">
        <w:rPr>
          <w:rFonts w:ascii="Times New Roman" w:hAnsi="Times New Roman" w:cs="Times New Roman"/>
          <w:sz w:val="27"/>
          <w:szCs w:val="27"/>
        </w:rPr>
        <w:t>Сокращения, используемые в тексте Методики прогнозирования:</w:t>
      </w:r>
    </w:p>
    <w:p w:rsidR="00EC16C3" w:rsidRDefault="00EC16C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EC16C3" w:rsidRDefault="00714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НК РФ – Налоговый кодекс Российской Федерации;</w:t>
      </w:r>
    </w:p>
    <w:p w:rsidR="00EC16C3" w:rsidRDefault="00714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БК РФ – Бюджетный кодекс Российской Федерации;</w:t>
      </w:r>
    </w:p>
    <w:p w:rsidR="00EC16C3" w:rsidRDefault="00714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КОАП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Кодекс Российской Федерации об административных правонарушениях;</w:t>
      </w:r>
    </w:p>
    <w:p w:rsidR="00EC16C3" w:rsidRDefault="00714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РФ – Российская Федерация;</w:t>
      </w:r>
    </w:p>
    <w:p w:rsidR="00EC16C3" w:rsidRDefault="007147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ПП РФ –постановление Правительства Российской Федерации;</w:t>
      </w:r>
    </w:p>
    <w:p w:rsidR="00EC16C3" w:rsidRDefault="007147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ПП БО –постановление Правительства Брянской области;</w:t>
      </w:r>
    </w:p>
    <w:p w:rsidR="00EC16C3" w:rsidRDefault="00714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ФК – Федеральное казначейство;</w:t>
      </w:r>
    </w:p>
    <w:p w:rsidR="00EC16C3" w:rsidRDefault="007147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- ОПС – обязательное пенсионное страхование;</w:t>
      </w:r>
    </w:p>
    <w:p w:rsidR="00EC16C3" w:rsidRDefault="00714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НПА – нормативно-правовые акты;</w:t>
      </w:r>
    </w:p>
    <w:p w:rsidR="00EC16C3" w:rsidRDefault="00714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Показатели ДЭР БО - показатели прогноза социально-экономического развития Брянской области на очередной финансовый год и плановый период, разрабатываемые Департаментом экономического развития Брянской области;</w:t>
      </w:r>
    </w:p>
    <w:p w:rsidR="00EC16C3" w:rsidRDefault="007147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- ВРП – валовый региональный продукт;</w:t>
      </w:r>
    </w:p>
    <w:p w:rsidR="00EC16C3" w:rsidRDefault="00714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ФЗП – фонд заработной платы;</w:t>
      </w:r>
    </w:p>
    <w:p w:rsidR="00EC16C3" w:rsidRDefault="00714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ИПЦ – индекс потребительских цен; </w:t>
      </w:r>
    </w:p>
    <w:p w:rsidR="00EC16C3" w:rsidRDefault="00714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ЕСГ – Единая система газоснабжения;</w:t>
      </w:r>
    </w:p>
    <w:p w:rsidR="00EC16C3" w:rsidRDefault="00714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ЕГРЮЛ – Единый государственный реестр юридических лиц; </w:t>
      </w:r>
    </w:p>
    <w:p w:rsidR="00EC16C3" w:rsidRDefault="00714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ЕГРИП – </w:t>
      </w:r>
      <w:r>
        <w:rPr>
          <w:rFonts w:ascii="Times New Roman" w:hAnsi="Times New Roman" w:cs="Times New Roman"/>
          <w:sz w:val="27"/>
          <w:szCs w:val="27"/>
        </w:rPr>
        <w:t>Единый государственный реестр индивидуальных предпринимателей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; </w:t>
      </w:r>
    </w:p>
    <w:p w:rsidR="00EC16C3" w:rsidRDefault="00714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КБК – код бюджетной классификации; </w:t>
      </w:r>
    </w:p>
    <w:p w:rsidR="00EC16C3" w:rsidRDefault="00714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Госпошлина – государственная пошлина;</w:t>
      </w:r>
    </w:p>
    <w:p w:rsidR="00EC16C3" w:rsidRDefault="007147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КТС 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–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color w:val="000000"/>
          <w:sz w:val="27"/>
          <w:szCs w:val="27"/>
        </w:rPr>
        <w:t>колесные транспортные средства;</w:t>
      </w:r>
    </w:p>
    <w:p w:rsidR="00EC16C3" w:rsidRDefault="007147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ТС 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–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color w:val="000000"/>
          <w:sz w:val="27"/>
          <w:szCs w:val="27"/>
        </w:rPr>
        <w:t>транспортные средства;</w:t>
      </w:r>
    </w:p>
    <w:p w:rsidR="00EC16C3" w:rsidRDefault="00714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1-НМ – статистическая налоговая отчетность по форме № 1-НМ ««Отчет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EC16C3" w:rsidRDefault="00714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4-НМ - статистическая налоговая отчетность по форме по форме № 4-НМ «Задолженность по налогам и сборам, пеням и налоговым санкциям в бюджетную систему Российской Федерации»;</w:t>
      </w:r>
    </w:p>
    <w:p w:rsidR="00EC16C3" w:rsidRDefault="00714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отчет 5-П – статистическая налоговая отчетность по форме 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>№ 5-П «Отчет о налоговой базе и структуре начислений по налогу на прибыль организаций»;</w:t>
      </w:r>
    </w:p>
    <w:p w:rsidR="00EC16C3" w:rsidRDefault="007147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отчет № 5-ПМ - 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статистическая налоговая отчетность по форме 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>№ 5-ПМ</w:t>
      </w:r>
      <w:r>
        <w:rPr>
          <w:rFonts w:ascii="Times New Roman" w:hAnsi="Times New Roman" w:cs="Times New Roman"/>
          <w:sz w:val="27"/>
          <w:szCs w:val="27"/>
        </w:rPr>
        <w:t xml:space="preserve"> «Отчет о налоговой базе и структуре начислений по налогу на прибыль организаций, зачисляемому в бюджет субъекта Российской Федерации»;</w:t>
      </w:r>
    </w:p>
    <w:p w:rsidR="00EC16C3" w:rsidRDefault="00714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hAnsi="Times New Roman" w:cs="Times New Roman"/>
          <w:sz w:val="27"/>
          <w:szCs w:val="27"/>
        </w:rPr>
        <w:t xml:space="preserve">- отчет № 5-КГНМ – 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статистическая налоговая отчетность по форме 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>№ 5-КГНМ</w:t>
      </w:r>
      <w:r>
        <w:rPr>
          <w:rFonts w:ascii="Times New Roman" w:hAnsi="Times New Roman" w:cs="Times New Roman"/>
          <w:sz w:val="27"/>
          <w:szCs w:val="27"/>
        </w:rPr>
        <w:t xml:space="preserve"> «Отчет о налоговой базе и сумме исчисленного консолидированными </w:t>
      </w:r>
      <w:r>
        <w:rPr>
          <w:rFonts w:ascii="Times New Roman" w:hAnsi="Times New Roman" w:cs="Times New Roman"/>
          <w:sz w:val="27"/>
          <w:szCs w:val="27"/>
        </w:rPr>
        <w:lastRenderedPageBreak/>
        <w:t>группами налогоплательщиков налога на прибыль организаций, зачисляемого в бюджет субъекта Российской Федерации»;</w:t>
      </w:r>
    </w:p>
    <w:p w:rsidR="00EC16C3" w:rsidRDefault="00714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 xml:space="preserve">- </w:t>
      </w:r>
      <w:r>
        <w:rPr>
          <w:rFonts w:ascii="Times New Roman" w:hAnsi="Times New Roman" w:cs="Times New Roman"/>
          <w:sz w:val="27"/>
          <w:szCs w:val="27"/>
        </w:rPr>
        <w:t xml:space="preserve">отчет 5-НДФЛ 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– статистическая налоговая отчетность по форме 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 xml:space="preserve">№ 5-НДФЛ «Отчет о налоговой базе и структуре начислений по налогу на доходы физических лиц, удерживаемому налоговыми агентами»; </w:t>
      </w:r>
    </w:p>
    <w:p w:rsidR="00EC16C3" w:rsidRDefault="007147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hAnsi="Times New Roman" w:cs="Times New Roman"/>
          <w:sz w:val="27"/>
          <w:szCs w:val="27"/>
        </w:rPr>
        <w:t xml:space="preserve">-  отчет 7-НДФЛ - 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статистическая налоговая отчетность по форме 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>№ 7-НДФЛ</w:t>
      </w:r>
      <w:r>
        <w:rPr>
          <w:rFonts w:ascii="Times New Roman" w:hAnsi="Times New Roman" w:cs="Times New Roman"/>
          <w:sz w:val="27"/>
          <w:szCs w:val="27"/>
        </w:rPr>
        <w:t xml:space="preserve"> «Отчёт о налоговой базе и структуре начислений по расчету сумм налога на доходы физических лиц, исчисленных и удержанных налоговым агентом»;</w:t>
      </w:r>
    </w:p>
    <w:p w:rsidR="00EC16C3" w:rsidRDefault="007147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отчет 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№ 1-ДДК - статистическая налоговая отчетность по форме 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>№ 1-ДДК «Отчет о декларировании доходов физическими лицами»;</w:t>
      </w:r>
    </w:p>
    <w:p w:rsidR="00EC16C3" w:rsidRDefault="00714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отчет 5-АЛ - статистическая налоговая отчетность по форме № 5-АЛ «Отчет о налоговой базе и структуре начислений по акцизам на спирт, алкогольную, спиртосодержащую продукцию и виноград»; </w:t>
      </w:r>
    </w:p>
    <w:p w:rsidR="00EC16C3" w:rsidRDefault="00714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отчет 5-НП - статистическая налоговая отчетность по форме № 5-НП «Отчет о налоговой базе и структуре начислений по акцизам на нефтепродукты»; </w:t>
      </w:r>
    </w:p>
    <w:p w:rsidR="00EC16C3" w:rsidRDefault="00714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5-МН – статистическая налоговая отчетность по форме № 5-МН «Отчет о налоговой базе и структуре начислений по местным налогам»;</w:t>
      </w:r>
    </w:p>
    <w:p w:rsidR="00EC16C3" w:rsidRDefault="00714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отчет 5-НИО – статистическая налоговая отчетность по форме 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>№ 5-НИО «Отчет о налоговой базе и структуре начислений по налогу на имущество организаций»;</w:t>
      </w:r>
    </w:p>
    <w:p w:rsidR="00EC16C3" w:rsidRDefault="00714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5-ТН – статистическая налоговая отчетность по форме № 5-ТН «Отчет о налоговой базе и структуре начислений по транспортному налогу»;</w:t>
      </w:r>
    </w:p>
    <w:p w:rsidR="00EC16C3" w:rsidRDefault="007147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отчет 5-УСН - </w:t>
      </w:r>
      <w:r>
        <w:rPr>
          <w:rFonts w:ascii="Times New Roman" w:hAnsi="Times New Roman" w:cs="Times New Roman"/>
          <w:sz w:val="27"/>
          <w:szCs w:val="27"/>
          <w:lang w:eastAsia="ru-RU"/>
        </w:rPr>
        <w:t>статистическая налоговая отчетность по форме № 5-УСН «Отчет о налоговой базе и структуре начислений по налогу, уплачиваемому в связи с применением упрощенной системы налогообложения»;</w:t>
      </w:r>
    </w:p>
    <w:p w:rsidR="00EC16C3" w:rsidRDefault="00714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отчет 5-ЕСХН - </w:t>
      </w:r>
      <w:r>
        <w:rPr>
          <w:rFonts w:ascii="Times New Roman" w:hAnsi="Times New Roman" w:cs="Times New Roman"/>
          <w:sz w:val="27"/>
          <w:szCs w:val="27"/>
          <w:lang w:eastAsia="ru-RU"/>
        </w:rPr>
        <w:t xml:space="preserve">статистическая налоговая отчетность по форме № 5-ЕСХН «Отчет о налоговой базе и структуре начислений по единому сельскохозяйственному налогу»;             </w:t>
      </w:r>
    </w:p>
    <w:p w:rsidR="00EC16C3" w:rsidRDefault="00714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5-ИБ – статистическая налоговая отчетность по форме № 5-ИБ «Отчет о налоговой базе и структуре начислений по налогу на игорный бизнес»;</w:t>
      </w:r>
    </w:p>
    <w:p w:rsidR="00EC16C3" w:rsidRDefault="00714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отчет 5-НДПИ – статистическая налоговая отчетность по форме 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>№ 5-НДПИ «Отчет о налоговой базе и структуре начислений по налогу на добычу полезных ископаемых»;</w:t>
      </w:r>
    </w:p>
    <w:p w:rsidR="00EC16C3" w:rsidRDefault="00714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hAnsi="Times New Roman" w:cs="Times New Roman"/>
          <w:sz w:val="27"/>
          <w:szCs w:val="27"/>
        </w:rPr>
        <w:t xml:space="preserve">- отчет 5-ЖМ 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– статистическая налоговая отчетность по форме 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>№ 5-ЖМ «Отчет о структуре начислений по сбору за пользование объектами животного мира»;</w:t>
      </w:r>
    </w:p>
    <w:p w:rsidR="00EC16C3" w:rsidRDefault="0071472D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ВП – статистическая налоговая отчетность по форме № ВП «Сведения о результатах проверок налогоплательщиков по вопросам соблюдения законодательства о налогах и сборах».</w:t>
      </w:r>
      <w:bookmarkStart w:id="1" w:name="_GoBack1"/>
      <w:bookmarkEnd w:id="1"/>
    </w:p>
    <w:p w:rsidR="00EC16C3" w:rsidRDefault="00EC16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sectPr w:rsidR="00EC16C3">
      <w:headerReference w:type="default" r:id="rId6"/>
      <w:pgSz w:w="11906" w:h="16838"/>
      <w:pgMar w:top="851" w:right="850" w:bottom="709" w:left="1701" w:header="708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18AE" w:rsidRDefault="0071472D">
      <w:pPr>
        <w:spacing w:after="0" w:line="240" w:lineRule="auto"/>
      </w:pPr>
      <w:r>
        <w:separator/>
      </w:r>
    </w:p>
  </w:endnote>
  <w:endnote w:type="continuationSeparator" w:id="0">
    <w:p w:rsidR="009A18AE" w:rsidRDefault="00714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18AE" w:rsidRDefault="0071472D">
      <w:pPr>
        <w:spacing w:after="0" w:line="240" w:lineRule="auto"/>
      </w:pPr>
      <w:r>
        <w:separator/>
      </w:r>
    </w:p>
  </w:footnote>
  <w:footnote w:type="continuationSeparator" w:id="0">
    <w:p w:rsidR="009A18AE" w:rsidRDefault="00714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4713382"/>
      <w:docPartObj>
        <w:docPartGallery w:val="Page Numbers (Top of Page)"/>
        <w:docPartUnique/>
      </w:docPartObj>
    </w:sdtPr>
    <w:sdtEndPr/>
    <w:sdtContent>
      <w:p w:rsidR="00EC16C3" w:rsidRDefault="0071472D">
        <w:pPr>
          <w:pStyle w:val="a4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903067">
          <w:rPr>
            <w:noProof/>
          </w:rPr>
          <w:t>3</w:t>
        </w:r>
        <w:r>
          <w:fldChar w:fldCharType="end"/>
        </w:r>
      </w:p>
    </w:sdtContent>
  </w:sdt>
  <w:p w:rsidR="00EC16C3" w:rsidRDefault="00EC16C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6C3"/>
    <w:rsid w:val="0071472D"/>
    <w:rsid w:val="00846C7F"/>
    <w:rsid w:val="00903067"/>
    <w:rsid w:val="009A18AE"/>
    <w:rsid w:val="00EC16C3"/>
    <w:rsid w:val="00EE0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E5DC18-ADE2-4097-9FBA-10E09F978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104478"/>
  </w:style>
  <w:style w:type="character" w:customStyle="1" w:styleId="a5">
    <w:name w:val="Нижний колонтитул Знак"/>
    <w:basedOn w:val="a0"/>
    <w:link w:val="a6"/>
    <w:uiPriority w:val="99"/>
    <w:qFormat/>
    <w:rsid w:val="00104478"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Lohit Devanagari"/>
    </w:rPr>
  </w:style>
  <w:style w:type="paragraph" w:customStyle="1" w:styleId="ac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table" w:styleId="ad">
    <w:name w:val="Table Grid"/>
    <w:basedOn w:val="a1"/>
    <w:uiPriority w:val="39"/>
    <w:rsid w:val="00EB35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1142</Words>
  <Characters>6513</Characters>
  <Application>Microsoft Office Word</Application>
  <DocSecurity>0</DocSecurity>
  <Lines>54</Lines>
  <Paragraphs>15</Paragraphs>
  <ScaleCrop>false</ScaleCrop>
  <Company>Russian Federal Tax Services</Company>
  <LinksUpToDate>false</LinksUpToDate>
  <CharactersWithSpaces>7640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Брысина Татьяна Петровна</dc:creator>
  <dc:description/>
  <cp:lastModifiedBy>Напорчук Марина Леонидовна</cp:lastModifiedBy>
  <cp:revision>10</cp:revision>
  <dcterms:created xsi:type="dcterms:W3CDTF">2024-07-15T07:43:00Z</dcterms:created>
  <dcterms:modified xsi:type="dcterms:W3CDTF">2024-11-22T08:24:00Z</dcterms:modified>
  <dc:language>ru-RU</dc:language>
</cp:coreProperties>
</file>